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0" w:before="0" w:lineRule="auto"/>
        <w:jc w:val="center"/>
        <w:rPr>
          <w:rFonts w:ascii="Arial" w:cs="Arial" w:eastAsia="Arial" w:hAnsi="Arial"/>
          <w:b w:val="1"/>
          <w:bCs w:val="1"/>
          <w:color w:val="888888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888888"/>
          <w:sz w:val="20"/>
          <w:szCs w:val="20"/>
          <w:rtl w:val="0"/>
        </w:rPr>
        <w:t xml:space="preserve">MINISTERSTWO EDUKACJI NARODOWEJ</w:t>
      </w:r>
    </w:p>
    <w:p w:rsidR="00000000" w:rsidDel="00000000" w:rsidP="00000000" w:rsidRDefault="00000000" w:rsidRPr="00000000" w14:paraId="00000003">
      <w:pPr>
        <w:spacing w:after="400" w:before="0" w:lineRule="auto"/>
        <w:jc w:val="center"/>
        <w:rPr>
          <w:b w:val="1"/>
          <w:bCs w:val="1"/>
          <w:color w:val="888888"/>
          <w:sz w:val="20"/>
          <w:szCs w:val="20"/>
        </w:rPr>
      </w:pPr>
      <w:r w:rsidDel="00000000" w:rsidR="00000000" w:rsidRPr="00000000">
        <w:rPr>
          <w:b w:val="1"/>
          <w:bCs w:val="1"/>
          <w:color w:val="888888"/>
          <w:sz w:val="20"/>
          <w:szCs w:val="20"/>
          <w:rtl w:val="0"/>
        </w:rPr>
        <w:t xml:space="preserve">przy współpracy z zespołem roboczym współpracującym z Ministerstwem Edukacji Narodowej, </w:t>
        <w:br w:type="textWrapping"/>
        <w:t xml:space="preserve">z udziałem przedstawicieli sektora pozarządowego.</w:t>
      </w:r>
    </w:p>
    <w:p w:rsidR="00000000" w:rsidDel="00000000" w:rsidP="00000000" w:rsidRDefault="00000000" w:rsidRPr="00000000" w14:paraId="00000004">
      <w:pPr>
        <w:spacing w:after="200" w:before="0" w:lineRule="auto"/>
        <w:jc w:val="center"/>
        <w:rPr>
          <w:b w:val="1"/>
          <w:bCs w:val="1"/>
          <w:color w:val="1f4e7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36"/>
          <w:szCs w:val="36"/>
          <w:rtl w:val="0"/>
        </w:rPr>
        <w:t xml:space="preserve">Wytyczne dla szkół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2e75b6"/>
          <w:sz w:val="28"/>
          <w:szCs w:val="28"/>
          <w:rtl w:val="0"/>
        </w:rPr>
        <w:t xml:space="preserve">w zakresie zarządzania korzystaniem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2e75b6"/>
          <w:sz w:val="28"/>
          <w:szCs w:val="28"/>
          <w:rtl w:val="0"/>
        </w:rPr>
        <w:t xml:space="preserve">z urządzeń mobilnych na terenie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jc w:val="center"/>
        <w:rPr>
          <w:color w:val="888888"/>
        </w:rPr>
      </w:pPr>
      <w:r w:rsidDel="00000000" w:rsidR="00000000" w:rsidRPr="00000000">
        <w:rPr>
          <w:rFonts w:ascii="Arial" w:cs="Arial" w:eastAsia="Arial" w:hAnsi="Arial"/>
          <w:color w:val="888888"/>
          <w:sz w:val="22"/>
          <w:szCs w:val="22"/>
          <w:rtl w:val="0"/>
        </w:rPr>
        <w:t xml:space="preserve">202</w:t>
      </w:r>
      <w:r w:rsidDel="00000000" w:rsidR="00000000" w:rsidRPr="00000000">
        <w:rPr>
          <w:color w:val="888888"/>
          <w:rtl w:val="0"/>
        </w:rPr>
        <w:t xml:space="preserve">6</w:t>
      </w:r>
    </w:p>
    <w:p w:rsidR="00000000" w:rsidDel="00000000" w:rsidP="00000000" w:rsidRDefault="00000000" w:rsidRPr="00000000" w14:paraId="00000009">
      <w:pPr>
        <w:spacing w:after="0" w:before="0" w:lineRule="auto"/>
        <w:jc w:val="center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jc w:val="center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jc w:val="both"/>
        <w:rPr>
          <w:color w:val="888888"/>
        </w:rPr>
      </w:pPr>
      <w:r w:rsidDel="00000000" w:rsidR="00000000" w:rsidRPr="00000000">
        <w:rPr>
          <w:rtl w:val="0"/>
        </w:rPr>
      </w:r>
    </w:p>
    <w:sdt>
      <w:sdtPr>
        <w:id w:val="1273610094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A">
          <w:pPr>
            <w:widowControl w:val="0"/>
            <w:tabs>
              <w:tab w:val="right" w:leader="dot" w:pos="9070.511811023624"/>
            </w:tabs>
            <w:spacing w:before="60" w:lineRule="auto"/>
            <w:jc w:val="both"/>
            <w:rPr>
              <w:b w:val="1"/>
              <w:bCs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1. Cel i podstawy wytycznych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1.1. Cel dokumentu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1.2. Zakres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1.3. Odbiorcy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1.4. Kontekst regulacyjny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1.5. Wnioski z badań IBE-PIB (2025)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dot" w:pos="9070.511811023624"/>
            </w:tabs>
            <w:spacing w:before="60" w:lineRule="auto"/>
            <w:jc w:val="both"/>
            <w:rPr>
              <w:b w:val="1"/>
              <w:bCs w:val="1"/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2. Model regulacji korzystania z urządzeń mobilnych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2.1. Zasady naczelne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2.2. Zróżnicowanie zasad według etapu edukacyjnego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tabs>
              <w:tab w:val="right" w:leader="dot" w:pos="9070.511811023624"/>
            </w:tabs>
            <w:spacing w:before="60" w:lineRule="auto"/>
            <w:ind w:left="72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a) Szkoły podstawowe – model ustawowego ograniczenia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widowControl w:val="0"/>
            <w:tabs>
              <w:tab w:val="right" w:leader="dot" w:pos="9070.511811023624"/>
            </w:tabs>
            <w:spacing w:before="60" w:lineRule="auto"/>
            <w:ind w:left="72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b) Szkoły ponadpodstawowe – model regulacji statutowej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2.3. Kategorie regulacyjne i szczegółowe zasady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2.4. Wyjątki od ograniczeń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widowControl w:val="0"/>
            <w:tabs>
              <w:tab w:val="right" w:leader="dot" w:pos="9070.511811023624"/>
            </w:tabs>
            <w:spacing w:before="60" w:lineRule="auto"/>
            <w:jc w:val="both"/>
            <w:rPr>
              <w:b w:val="1"/>
              <w:bCs w:val="1"/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3. Partycypacja uczniów i współtworzenie zasad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3.1. Dlaczego partycypacja jest warunkiem skuteczności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3.2. Mechanizmy współtworzenia zasad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3.3. Unikanie pozornej partycypacji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widowControl w:val="0"/>
            <w:tabs>
              <w:tab w:val="right" w:leader="dot" w:pos="9070.511811023624"/>
            </w:tabs>
            <w:spacing w:before="60" w:lineRule="auto"/>
            <w:jc w:val="both"/>
            <w:rPr>
              <w:b w:val="1"/>
              <w:bCs w:val="1"/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4. Egzekwowanie i reagowanie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4.1. Zasady egzekwowania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4.2. Środki reagowania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4.3. Procedury w sytuacjach szczególnych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widowControl w:val="0"/>
            <w:tabs>
              <w:tab w:val="right" w:leader="dot" w:pos="9070.511811023624"/>
            </w:tabs>
            <w:spacing w:before="60" w:lineRule="auto"/>
            <w:jc w:val="both"/>
            <w:rPr>
              <w:b w:val="1"/>
              <w:bCs w:val="1"/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5. Wdrożenie na poziomie szkoły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5.1. Obowiązki ustawowe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5.2. Role dyrektora i nauczycieli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5.3. Włączanie uczniów i rodziców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widowControl w:val="0"/>
            <w:tabs>
              <w:tab w:val="right" w:leader="dot" w:pos="9070.511811023624"/>
            </w:tabs>
            <w:spacing w:before="60" w:lineRule="auto"/>
            <w:jc w:val="both"/>
            <w:rPr>
              <w:b w:val="1"/>
              <w:bCs w:val="1"/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6. Higiena cyfrowa i edukacja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6.1. Cele edukacyjne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6.2. Programy i zasoby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6.3. Rola rodziców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widowControl w:val="0"/>
            <w:tabs>
              <w:tab w:val="right" w:leader="dot" w:pos="9070.511811023624"/>
            </w:tabs>
            <w:spacing w:before="60" w:lineRule="auto"/>
            <w:jc w:val="both"/>
            <w:rPr>
              <w:b w:val="1"/>
              <w:bCs w:val="1"/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7. Monitoring i doskonalenie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7.1. Ewaluacja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7.2. Aktualizacja zasad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widowControl w:val="0"/>
            <w:tabs>
              <w:tab w:val="right" w:leader="dot" w:pos="9070.511811023624"/>
            </w:tabs>
            <w:spacing w:before="60" w:lineRule="auto"/>
            <w:ind w:left="360" w:firstLine="0"/>
            <w:jc w:val="both"/>
            <w:rPr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7.3. Wymiana praktyk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widowControl w:val="0"/>
            <w:tabs>
              <w:tab w:val="right" w:leader="dot" w:pos="9070.511811023624"/>
            </w:tabs>
            <w:spacing w:before="60" w:lineRule="auto"/>
            <w:jc w:val="both"/>
            <w:rPr>
              <w:b w:val="1"/>
              <w:bCs w:val="1"/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8. Załączniki</w:t>
              <w:tab/>
            </w:r>
          </w:hyperlink>
          <w:r w:rsidDel="00000000" w:rsidR="00000000" w:rsidRPr="00000000">
            <w:fldChar w:fldCharType="begin"/>
            <w:instrText xml:space="preserve"> PAGEREF _heading=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C">
      <w:pPr>
        <w:pageBreakBefore w:val="1"/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spacing w:after="160" w:befor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1. Cel i podstawy wytycznych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1.1. Cel dokumentu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Podstawą aksjologiczną wytycznych jest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prawo dziecka do nauki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gwarantowane przez art. 70 Konstytucji Rzeczypospolitej Polskiej oraz art. 28 Konwencji o prawach dziecka, a także prawo do ochrony przed zagrożeniami wpływającymi na jego dobrostan i zdolność do uczenia się. Regulacje dotyczące korzystania z urządzeń mobilnych nie są wyłącznie narzędziem porządkowym – stanowią wyraz odpowiedzialności szkoły za stworzenie warunków, w których każdy uczeń może w pełni korzystać z przysługującego mu prawa do edukacji.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Celem dokumentu jest określenie ram dla zasad używania przez uczniów telefonów komórkowych oraz innych urządzeń elektronicznych podczas pobytu na terenie szkoły, zgodnie z przepisami ustawy – Prawo oświatowe oraz projektowanymi zmianami legislacyjnymi. Wytyczne wskazują, kiedy korzystanie z urządzeń jest dopuszczalne, ograniczone lub niedozwolone, z uwzględnieniem wyjątków przewidzianych w przepisach prawa.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Wytyczne zakładają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model partycypacyjny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zasady korzystania z technologii cyfrowych są współtworzone przez całą społeczność szkolną, w tym przez samych uczniów. Partycypacja nie jest elementem dodatkowym – jest warunkiem skuteczności i trwałości regulacji.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1.2. Zakres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Wytyczne dotyczą smartfonów, smartwatchy, tabletów i innych urządzeń mobilnych pozostających w dyspozycji uczniów podczas pobytu na terenie szkoły. Uwzględniają również szerszy kontekst: internet, media społecznościowe i narzędzia sztucznej inteligencji.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Zakres wytycznych obejmuje w szczególności: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zasady używania urządzeń podczas zajęć, przerw i innych form aktywności szkolnej,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wyjątki od ograniczeń wynikające z przepisów prawa (cele dydaktyczne, zdrowotne, sytuacje zagrożenia życia),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kierunki działań wychowawczych i profilaktycznych w zakresie higieny cyfrowej,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zasady reagowania na naruszenia i sytuacje problemowe,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sposób włączania uczniów w tworzenie, wdrażanie i ewaluację zasad.</w:t>
      </w:r>
    </w:p>
    <w:p w:rsidR="00000000" w:rsidDel="00000000" w:rsidP="00000000" w:rsidRDefault="00000000" w:rsidRPr="00000000" w14:paraId="0000005A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1.3. Odbiorcy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Wytyczne są skierowane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dyrektorów szkół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jako podmiotów odpowiedzialnych za określenie i wdrożenie zasad w statucie oraz za zapewnienie procesu ich współtworzenia,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nauczycieli i pracowników szkoły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odpowiedzialnych za stosowanie zasad oraz realizację działań wychowawczych,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uczniów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jako podmiotów sprawczych i współtwórców zasad, a nie wyłącznie ich adresatów. Uczniowie uczestniczą w procesie tworzenia zasad, ponieważ wynika to z poszanowania ich praw (art. 12 Konwencji o prawach dziecka) oraz zwiększa skuteczność regulacji,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rodziców i opiekunów prawnych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jako partnerów szkoły w budowaniu spójnych zasad korzystania z technologii.</w:t>
      </w:r>
    </w:p>
    <w:p w:rsidR="00000000" w:rsidDel="00000000" w:rsidP="00000000" w:rsidRDefault="00000000" w:rsidRPr="00000000" w14:paraId="00000060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Wytyczne mogą być wykorzystywane przez organy prowadzące oraz nadzór pedagogiczny jako punkt odniesienia przy ocenie przyjętych rozwiązań.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1.4. Kontekst regulacyjny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Projektowana nowelizacja ustawy – Prawo oświatowe wprowadza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ustawowy zakaz korzystania z telefonów komórkowych w publicznych szkołach podstawowych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(lekcje i przerwy) z wyjątkami obejmującymi sytuacje dydaktyczno-wychowawcze, zdrowotne oraz zagrożenie życia lub zdrowia. Szkoły podstawowe są zobowiązane dostosować statuty do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31 października 2026 r.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(zakaz obowiązuje od 1 września 2026 r.).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szkołach ponadpodstawowych regulacja pozostaje na poziomie statutu szkoły – z obowiązkiem jednoznacznego określenia zasad.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1.5. Wnioski z badań IBE-PIB (2025)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Kluczowe wnioski istotne dla projektowania zasad: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Regulacje partycypacyjne są skuteczniejsze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zasady wypracowane z uczniami i rodzicami są lepiej rozumiane i przestrzegane.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Same zapisy statutowe nie wystarczą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regulacje czysto deklaratywne nie przekładają się na trwałą zmianę zachowań.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Edukacja jest niezbędna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zakaz bez komponentu higieniczno-cyfrowego nie prowadzi do zmiany nawyków.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Alternatywy offline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zapewnienie uczniom realnych alternatyw (strefy aktywności, gry, przestrzenie odpoczynku) jest warunkiem powodzenia ograniczeń.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bez regulacji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uczniowie korzystają z narzędzi AI przy ograniczonym poziomie ich uregulowania w szkołach.</w:t>
      </w:r>
    </w:p>
    <w:p w:rsidR="00000000" w:rsidDel="00000000" w:rsidP="00000000" w:rsidRDefault="00000000" w:rsidRPr="00000000" w14:paraId="0000006B">
      <w:pPr>
        <w:pageBreakBefore w:val="1"/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spacing w:after="160" w:befor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2. Model regulacji korzystania z urządzeń mobilnych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2.1. Zasady naczelne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Partycypacja uczniów jako warunek skuteczności.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Uczeń jest podmiotem systemu regulacji, a nie wyłącznie jego adresatem. Zasady korzystania z technologii są współtworzone przez społeczność szkolną. Regulacje legitymizowane przez uczniów są skuteczniejsze: zwiększają poczucie współodpowiedzialności, redukują postawy buntownicze i odciążają kadrę pedagogiczną z roli wyłącznych egzekutorów.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Prawo do nauki jako uzasadnienie regulacji.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Każde ograniczenie korzystania z urządzeń jest motywowane ochroną prawa ucznia do skupionej, wolnej od zakłóceń edukacji oraz jego dobrostanu i bezpieczeństwa – nie jest narzędziem dyscyplinarnym.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Zróżnicowanie według etapu edukacyjnego.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Wyższy stopień restrykcyjności obowiązuje w szkołach podstawowych (funkcja profilaktyczna), większa autonomia – w szkołach ponadpodstawowych. Jednolity model dla wszystkich poziomów jest nieadekwatny.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Spójność i realizm.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Zasady muszą być możliwe do egzekwowania. Regulacje, których szkoła nie jest w stanie stosować konsekwentnie, podważają autorytet całego systemu. Higiena cyfrowa obowiązuje całą społeczność szkolną – również nauczycieli.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2.2. Zróżnicowanie zasad według etapu edukacyjnego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spacing w:after="80" w:before="20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a) Szkoły podstawowe – model ustawowego ograniczenia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Obowiązuje generalny zakaz korzystania z urządzeń na terenie szkoły. Wyjątki ustawowe: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wykorzystanie w celach dydaktyczno-wychowawczych – za zgodą nauczyciela,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szczególne potrzeby ucznia (zdrowotne, wynikające z niepełnosprawności) – za pisemną zgodą dyrektora,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zagrożenie zdrowia lub życia.</w:t>
      </w:r>
    </w:p>
    <w:p w:rsidR="00000000" w:rsidDel="00000000" w:rsidP="00000000" w:rsidRDefault="00000000" w:rsidRPr="00000000" w14:paraId="00000078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Rola szkoły polega na określeniu sposobu organizacji funkcjonowania w warunkach zakazu: systemy deponowania urządzeń, procedury korzystania z wyjątków oraz powiązanie z edukacją w zakresie higieny cyfrowej.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spacing w:after="80" w:before="20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b) Szkoły ponadpodstawowe – model regulacji statutowej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Statut szkoły określa zasady korzystania z urządzeń. Badania wskazują, że w tej grupie wiekowej skuteczniejsze są modele oparte na jasnych zasadach współtworzonych ze społecznością szkolną niż modele oparte wyłącznie na zakazach.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Regulacje powinny: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opierać się na zasadach korzystania z technologii, nie wyłącznie na zakazach,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uwzględniać udział uczniów w procesie ich tworzenia,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łączyć komponent regulacyjny z rozwijaniem kompetencji samoregulacji.</w:t>
      </w:r>
    </w:p>
    <w:p w:rsidR="00000000" w:rsidDel="00000000" w:rsidP="00000000" w:rsidRDefault="00000000" w:rsidRPr="00000000" w14:paraId="0000007F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2.3. Kategorie regulacyjne i szczegółowe zasady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Statut szkoły powinien jednoznacznie określić zasady w trzech obszarach. Poniższa tabela przedstawia ramy dla obu typów szkół: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3500"/>
        <w:gridCol w:w="3500"/>
        <w:tblGridChange w:id="0">
          <w:tblGrid>
            <w:gridCol w:w="2000"/>
            <w:gridCol w:w="3500"/>
            <w:gridCol w:w="35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4e7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Obszar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4e7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Szkoły podstawowe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4e7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Szkoły ponadpodstawowe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2f7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Wnoszenie urządzeń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2f7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Urządzenia mogą być wnoszone na własną odpowiedzialność ucznia; po wejściu do szkoły –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przechowywanie zgodne z ustalonymi zasadami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(szafka, wyznaczone miejsce).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2f7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Statut określa zasady wnoszenia i przechowywania; brak co do zasady zakazu wnoszenia – z poszanowaniem prawa własności i potrzeby kontaktu z rodzicem.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Korzystanie (lekcje / przerwy / przestrzeń szkoły)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Zakaz korzystania podczas lekcji i przerw; wyjątki wyłącznie na podstawie przepisów ustawowych. Strefy offline wsparte ofertą alternatywnych aktywności.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Zasada ograniczenia do sytuacji uzasadnionych dydaktycznie podczas zajęć. Podczas przerw – dopuszczalne ograniczone korzystanie, o ile statut tak stanowi; rekomendowane strefy bez urządzeń.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2f7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Rejestrowanie treści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2f7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Zakaz rejestrowania wizerunku, głosu lub zachowania innych osób bez zgody. Szczególne zasady dla sytuacji edukacyjnych – wyłącznie za zgodą nauczyciela.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2f7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Jak w szkołach podstawowych. Jasno określone konsekwencje naruszeń – w tym środki wychowawcze i, w uzasadnionych przypadkach, środki statutowe.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2.4. Wyjątki od ograniczeń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Ograniczenia w korzystaniu z urządzeń nie mają zastosowania w przypadku: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względów zdrowotnych lub szczególnych potrzeb ucznia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na podstawie pisemnej zgody dyrektora,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specjalnych potrzeb edukacyjnych (SPE)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 zakresie wynikającym z zaleceń specjalistycznych,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zagrożenia zdrowia lub życia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 sytuacjach nagłych wymagających wezwania pomocy,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celów dydaktyczno-wychowawczych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na podstawie decyzji nauczyciela prowadzącego zajęcia.</w:t>
      </w:r>
    </w:p>
    <w:p w:rsidR="00000000" w:rsidDel="00000000" w:rsidP="00000000" w:rsidRDefault="00000000" w:rsidRPr="00000000" w14:paraId="00000095">
      <w:pPr>
        <w:pageBreakBefore w:val="1"/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spacing w:after="160" w:befor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3. Partycypacja uczniów i współtworzenie zasad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3.1. Dlaczego partycypacja jest warunkiem skuteczności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 odchodzi od postrzegania ucznia jako biernego odbiorcy odgórnych zakazów. Choć dyrektor i rada pedagogiczna definiują ramy prawne i pedagogiczne, uczniowie realnie uczestniczą w ich wypełnianiu. Zasady wypracowane w drodze dialogu cieszą się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wyższą akceptacją i są chętniej przestrzegane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Partycypacja: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buduje poczucie współodpowiedzialności – zasady służą dobrostanowi uczniów, a nie są narzędziem kontroli,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poprawia diagnozę zagrożeń – uczniowie posiadają unikalną wiedzę o cyfrowym środowisku rówieśniczym,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redukuje postawy buntownicze – uczeń przestaje postrzegać szkołę jako opresyjną instytucję,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odciąża kadrę – gdy zasady mają społeczną legitymację, ciężar egzekwowania rozkłada się na całą społeczność.</w:t>
      </w:r>
    </w:p>
    <w:p w:rsidR="00000000" w:rsidDel="00000000" w:rsidP="00000000" w:rsidRDefault="00000000" w:rsidRPr="00000000" w14:paraId="0000009D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Realna zmiana postaw wynika z akceptacji norm grupowych, a nie z samego zapisu w statucie.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Bezwzględne zakazy bez udziału uczniów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prowadzą do obchodzenia systemu (ukryte korzystanie, drugi telefon). Wspólny kontrakt zastępuje regulamin wymierzony </w:t>
      </w:r>
      <w:r w:rsidDel="00000000" w:rsidR="00000000" w:rsidRPr="00000000">
        <w:rPr>
          <w:rtl w:val="0"/>
        </w:rPr>
        <w:t xml:space="preserve">przeciwko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uczniom.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3.2. Mechanizmy współtworzenia zasad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Warsztaty i grupy fokusowe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rekomendowane włączenie uczniów w lekcje wychowawcze; wspólne wypracowanie klasowych kontraktów (netykieta, zasady grup online). Gotowe scenariusze dostępne w programie "Lekcje Higieny Cyfrowej".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Samorząd Uczniowski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pełni rolę rzecznika interesów uczniów i aktywnego partnera dyrekcji: uczestniczy w tworzeniu i aktualizowaniu regulaminów, występuje z inicjatywami w zakresie higieny cyfrowej.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Ankiety i debaty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diagnoza merytoryczna przed powstaniem regulaminu: ankiety do uczniów, rodziców i nauczycieli; debaty o dylematach etycznych; skrzynki na pomysły. Możliwe szkolne referendum nad kluczowymi zasadami.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Podejście pilotażowe i cykliczna ewaluacja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zasady testowane i korygowane na podstawie bieżących obserwacji; przeglądy z udziałem uczniów i rodziców co najmniej raz w roku szkolnym.</w:t>
      </w:r>
    </w:p>
    <w:p w:rsidR="00000000" w:rsidDel="00000000" w:rsidP="00000000" w:rsidRDefault="00000000" w:rsidRPr="00000000" w14:paraId="000000A3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3.3. Unikanie pozornej partycypacji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Konsultacje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dla pozoru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budują u uczniów nieufność do dorosłych i uczą obchodzenia systemu. Prawdziwa partycypacja wymaga: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transparentności procesu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wyniki diagnozy (np. ankiet) są jawne* i dostępne dla całej społeczności,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informacji zwrotnej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szkoła jasno komunikuje, które postulaty uczniów zostały uwzględnione i dlaczego,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wspólnego kontraktu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zasady podpisane przez całą społeczność mają społeczną legitymację i rozkładają ciężar egzekwowania na wspólnotę.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(*) przy zachowaniu anonimowości respondentów</w:t>
      </w:r>
    </w:p>
    <w:p w:rsidR="00000000" w:rsidDel="00000000" w:rsidP="00000000" w:rsidRDefault="00000000" w:rsidRPr="00000000" w14:paraId="000000AA">
      <w:pPr>
        <w:pageBreakBefore w:val="1"/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spacing w:after="160" w:befor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4. Egzekwowanie i reagowanie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4.1. Zasady egzekwowania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Zasady są jednoznaczne, spójne i znane wszystkim członkom społeczności szkolnej.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Egzekwowanie jest konsekwentne i jednolite – niespójność między nauczycielami obniża skuteczność regulacji.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Środki są proporcjonalne, adekwatne do sytuacji i respektują godność ucznia.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Regulacje są realistyczne – szkoła nie wprowadza zasad, których nie jest w stanie stosować.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Nauczyciele modelują właściwe postawy – korzystanie z telefonu przez dorosłych w celach prywatnych podczas lekcji lub dyżurów podważa autorytet zasad.</w:t>
      </w:r>
    </w:p>
    <w:p w:rsidR="00000000" w:rsidDel="00000000" w:rsidP="00000000" w:rsidRDefault="00000000" w:rsidRPr="00000000" w14:paraId="000000B2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4.2. Środki reagowania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Reagowanie ma charakter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stopniowany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wychowawczy: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zwrócenie uwagi i przypomnienie zasad,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czasowe ograniczenie możliwości korzystania z urządzenia,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działania wychowawcze (rozmowa z uczniem, praca nad konsekwencjami zachowania),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 z rodzicami lub opiekunami,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środki przewidziane w statucie – w przypadku powtarzających się lub poważnych naruszeń.</w:t>
      </w:r>
    </w:p>
    <w:p w:rsidR="00000000" w:rsidDel="00000000" w:rsidP="00000000" w:rsidRDefault="00000000" w:rsidRPr="00000000" w14:paraId="000000B9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Środki powinny być proporcjonalne do wagi naruszenia, mieć charakter edukacyjny i naprawczy, a nie wyłącznie represyjny.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4.3. Procedury w sytuacjach szczególnych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Szkoła określa procedury postępowania w przypadku: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naruszenia prywatności (nieuprawnione rejestrowanie i rozpowszechnianie wizerunku),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cyberprzemocy i mowy nienawiści z wykorzystaniem technologii,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korzystania z treści nieodpowiednich dla wieku,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omijania zasad (ukryte korzystanie z urządzeń).</w:t>
      </w:r>
    </w:p>
    <w:p w:rsidR="00000000" w:rsidDel="00000000" w:rsidP="00000000" w:rsidRDefault="00000000" w:rsidRPr="00000000" w14:paraId="000000C0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Procedury są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spójne ze standardami ochrony małoletnich (SOM)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obowiązującymi w szkole i stanowią ich uzupełnienie w obszarze środowiska cyfrowego. Obejmują: jasne kanały zgłaszania incydentów, określenie osób odpowiedzialnych za podjęcie działań, dokumentowanie zdarzeń oraz – w razie potrzeby – współpracę z instytucjami zewnętrznymi.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1"/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1"/>
        <w:spacing w:after="160" w:befor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5. Wdrożenie na poziomie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5.1. Obowiązki ustawowe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Szkoły podstawowe (od 1 września 2026 r.)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ustawowy zakaz korzystania z urządzeń podczas całego pobytu ucznia w szkole; obowiązek dostosowania statutu do 31 października 2026 r.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Szkoły ponadpodstawowe i niepubliczne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zachowują elastyczność – statut musi określać zasady wnoszenia i korzystania (lub zakazu) z urządzeń z zachowaniem ustawowych wyjątków.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Standardy Ochrony Małoletnich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obowiązkowe wdrożenie standardów obejmujących zasady bezpiecznych relacji online i procedury ochrony przed cyberprzemocą.</w:t>
      </w:r>
    </w:p>
    <w:p w:rsidR="00000000" w:rsidDel="00000000" w:rsidP="00000000" w:rsidRDefault="00000000" w:rsidRPr="00000000" w14:paraId="000000C7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5.2. Role dyrektora i nauczycieli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Dyrektor jako architekt zmiany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projektuje ramy regulacji w porozumieniu z radą pedagogiczną; uzasadnia decyzje dobrem dziecka i ochroną procesu uczenia się.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Nauczyciel jako mentor, nie strażnik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wykorzystuje technologię intencjonalnie; modeluje właściwe postawy wobec urządzeń.</w:t>
      </w:r>
    </w:p>
    <w:p w:rsidR="00000000" w:rsidDel="00000000" w:rsidP="00000000" w:rsidRDefault="00000000" w:rsidRPr="00000000" w14:paraId="000000CA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5.3. Włączanie uczniów i rodziców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Triada edukacyjna (Szkoła – Dom – Uczeń)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skuteczne wdrożenie wymaga ścisłej współpracy. Rodzice muszą rozumieć związek między higieną cyfrową w domu a zdolnością dziecka do koncentracji w szkole.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Wielka Inwentaryzacja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 powinien zacząć się od audytu (np. metodą 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który diagnozuje dotychczasowe zasady, posiadane urządzenia i zagospodarowanie przestrzeni przerw.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Cykliczna ewaluacja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zasady są weryfikowane co najmniej raz w roku szkolnym z udziałem uczniów, nauczycieli i rodziców.</w:t>
      </w:r>
    </w:p>
    <w:p w:rsidR="00000000" w:rsidDel="00000000" w:rsidP="00000000" w:rsidRDefault="00000000" w:rsidRPr="00000000" w14:paraId="000000CE">
      <w:pPr>
        <w:pageBreakBefore w:val="1"/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1"/>
        <w:spacing w:after="160" w:befor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6. Higiena cyfrowa i edukacja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6.1. Cele edukacyjne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Edukacja w zakresie higieny cyfrowej kształtuje cyfrowego obywatela zdolnego do aktywnego, odpowiedzialnego i etycznego uczestnictwa w przestrzeni online. Kluczowe cele: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krytyczne myślenie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analiza informacji, rozpoznawanie dezinformacji, rozumienie mechanizmów algorytmów i AI,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ochrona dobrostanu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wiedza o fizycznych i psychicznych skutkach nadużywania ekranów (sen, koncentracja, wady wzroku),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zarządzanie tożsamością cyfrową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ochrona prywatności, danych osobowych, świadomość śladu cyfrowego.</w:t>
      </w:r>
    </w:p>
    <w:p w:rsidR="00000000" w:rsidDel="00000000" w:rsidP="00000000" w:rsidRDefault="00000000" w:rsidRPr="00000000" w14:paraId="000000D5">
      <w:pPr>
        <w:pStyle w:val="Heading2"/>
        <w:spacing w:after="120" w:before="280" w:lineRule="auto"/>
        <w:jc w:val="both"/>
        <w:rPr/>
      </w:pPr>
      <w:sdt>
        <w:sdtPr>
          <w:id w:val="-513681746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6.2. Programy i zasoby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Edukacja zdrowotna (od IX 2025)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higiena cyfrowa jako integralna część nowego przedmiotu oraz edukacji obywatelskiej i informatyki.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"Lekcje Higieny Cyfrowej" (Fundacja ICO)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gotowe scenariusze zajęć dla wszystkich grup wiekowych (od klasy 0 do matury).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"Szkoła Odpowiedzialna Cyfrowo"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projekt certyfikacyjny wspierający budowanie równowagi online/offline.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"ABC higieny cyfrowej" (klasy 0–3)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programy budujące zdrowe nawyki na wczesnym etapie rozwoju.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6.3. Rola rodziców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Rodzice są aktywnymi partnerami – sukces szkoły zależy od spójności przekazu w domu i szkole.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Modelowanie postaw: dzieci uczą się przez obserwację – rodzice przestrzegają zasad higieny cyfrowej (np. brak telefonu przy posiłkach).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Rekomendacja ekspertów: dzieci do 12. roku życia bez własnego smartfona; do 15. roku życia bez serwisów społecznościowych.</w:t>
      </w:r>
    </w:p>
    <w:p w:rsidR="00000000" w:rsidDel="00000000" w:rsidP="00000000" w:rsidRDefault="00000000" w:rsidRPr="00000000" w14:paraId="000000DE">
      <w:pPr>
        <w:pageBreakBefore w:val="1"/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1"/>
        <w:spacing w:after="160" w:befor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7. Monitoring i doskonalenie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7.1. Ewaluacja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Szkoła prowadzi regularną ocenę przyjętych zasad (co najmniej raz w roku szkolnym), obejmującą: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poziom przestrzegania zasad przez uczniów,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skuteczność rozwiązań organizacyjnych (np. systemów depozytowych),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wpływ regulacji na koncentrację, relacje rówieśnicze i dobrostan uczniów,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liczbę i charakter zgłaszanych incydentów.</w:t>
      </w:r>
    </w:p>
    <w:p w:rsidR="00000000" w:rsidDel="00000000" w:rsidP="00000000" w:rsidRDefault="00000000" w:rsidRPr="00000000" w14:paraId="000000E6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Ewaluacja uwzględnia perspektywę uczniów, nauczycieli i rodziców. Wnioski są dokumentowane i stanowią podstawę dalszych działań.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7.2. Aktualizacja zasad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Zasady są aktualizowane w szczególności gdy: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obowiązujące rozwiązania okazują się nieskuteczne lub nieegzekwowalne,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pojawiają się nowe wyzwania technologiczne (nowe aplikacje, narzędzia AI),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zmieniają się przepisy prawa lub wytyczne systemowe.</w:t>
      </w:r>
    </w:p>
    <w:p w:rsidR="00000000" w:rsidDel="00000000" w:rsidP="00000000" w:rsidRDefault="00000000" w:rsidRPr="00000000" w14:paraId="000000EC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Proces aktualizacji jest transparentny, angażuje uczniów i rodziców oraz zapewnia spójność ze statutem i standardami ochrony małoletnich.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2"/>
        <w:spacing w:after="120" w:before="2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7.3. Wymiana praktyk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Szkoła aktywnie uczestniczy w wymianie doświadczeń – poprzez współpracę z innymi szkołami, korzystanie z materiałów instytucji publicznych i organizacji eksperckich oraz udział w programach wspierających higienę cyfrową.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1"/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1"/>
        <w:spacing w:after="160" w:before="360" w:lineRule="auto"/>
        <w:jc w:val="both"/>
        <w:rPr/>
      </w:pPr>
      <w:sdt>
        <w:sdtPr>
          <w:id w:val="-72872775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8. Załączniki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60" w:before="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wytycznych dołączone są następujące dokumenty: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8.1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Wzorcowe zapisy statutowe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8.2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Narzędzia partycypacji (ankiety, scenariusze warsztatów)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8.3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Scenariusze reagowania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8.4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Checklisty wdrożeniowe dla dyrektora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18" w:top="1418" w:left="1701" w:right="1134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Paulina Domek" w:id="1" w:date="2026-03-29T13:42:09Z"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dyskusji</w:t>
      </w:r>
    </w:p>
  </w:comment>
  <w:comment w:author="Paulina Domek" w:id="0" w:date="2026-03-29T13:41:48Z"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tutaj proszę o dopisywanie kto się czym chce pochwalić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F8" w15:done="0"/>
  <w15:commentEx w15:paraId="000000F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spacing w:after="0" w:before="0" w:lineRule="auto"/>
      <w:jc w:val="right"/>
      <w:rPr/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Strona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F7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https://higienacyfrowa.pl/publikacje/higiena-cyfrowa-w-szkole-i-w-przedszkolu/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4e79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microsoft.com/office/2011/relationships/commentsExtended" Target="commentsExtended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9psv8RDPeym8m0U54wHbtRr8Zg==">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2026-03-29T12:31:49.869Z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